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仿宋_GB2312" w:hAnsi="宋体"/>
          <w:color w:val="000000"/>
          <w:szCs w:val="32"/>
        </w:rPr>
      </w:pPr>
      <w:r>
        <w:rPr>
          <w:rFonts w:hint="eastAsia" w:ascii="仿宋_GB2312" w:hAnsi="宋体"/>
          <w:color w:val="000000"/>
          <w:szCs w:val="32"/>
        </w:rPr>
        <w:t xml:space="preserve">附件          </w:t>
      </w:r>
    </w:p>
    <w:p>
      <w:pPr>
        <w:widowControl/>
        <w:ind w:firstLine="400" w:firstLineChars="100"/>
        <w:jc w:val="center"/>
        <w:rPr>
          <w:rFonts w:ascii="宋体" w:hAnsi="宋体" w:eastAsia="方正小标宋简体"/>
          <w:b/>
          <w:sz w:val="44"/>
          <w:szCs w:val="44"/>
        </w:rPr>
      </w:pPr>
      <w:r>
        <w:rPr>
          <w:rFonts w:hint="eastAsia" w:ascii="方正小标宋简体" w:hAnsi="Calibri" w:eastAsia="方正小标宋简体" w:cs="宋体"/>
          <w:bCs/>
          <w:color w:val="000000"/>
          <w:kern w:val="0"/>
          <w:sz w:val="40"/>
          <w:szCs w:val="40"/>
        </w:rPr>
        <w:t>2020年绍兴市级医卫类科技计划拟立项项目公示表</w:t>
      </w:r>
    </w:p>
    <w:p>
      <w:pPr>
        <w:widowControl/>
        <w:jc w:val="center"/>
        <w:rPr>
          <w:rFonts w:ascii="宋体" w:hAnsi="宋体"/>
          <w:b/>
          <w:sz w:val="13"/>
          <w:szCs w:val="13"/>
        </w:rPr>
      </w:pPr>
    </w:p>
    <w:tbl>
      <w:tblPr>
        <w:tblStyle w:val="6"/>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2104"/>
        <w:gridCol w:w="528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21" w:type="dxa"/>
            <w:shd w:val="clear" w:color="auto" w:fill="auto"/>
            <w:vAlign w:val="center"/>
          </w:tcPr>
          <w:p>
            <w:pPr>
              <w:spacing w:line="320" w:lineRule="exact"/>
              <w:jc w:val="center"/>
              <w:rPr>
                <w:rFonts w:ascii="宋体" w:hAnsi="宋体" w:eastAsia="宋体" w:cs="宋体"/>
                <w:b/>
                <w:sz w:val="24"/>
              </w:rPr>
            </w:pPr>
            <w:r>
              <w:rPr>
                <w:rFonts w:hint="eastAsia" w:ascii="宋体" w:hAnsi="宋体" w:eastAsia="宋体" w:cs="宋体"/>
                <w:b/>
                <w:sz w:val="24"/>
              </w:rPr>
              <w:t>序号</w:t>
            </w:r>
          </w:p>
        </w:tc>
        <w:tc>
          <w:tcPr>
            <w:tcW w:w="2104" w:type="dxa"/>
            <w:shd w:val="clear" w:color="auto" w:fill="auto"/>
            <w:vAlign w:val="center"/>
          </w:tcPr>
          <w:p>
            <w:pPr>
              <w:spacing w:line="320" w:lineRule="exact"/>
              <w:jc w:val="center"/>
              <w:rPr>
                <w:rFonts w:ascii="宋体" w:hAnsi="宋体" w:eastAsia="宋体" w:cs="宋体"/>
                <w:b/>
                <w:sz w:val="24"/>
              </w:rPr>
            </w:pPr>
            <w:r>
              <w:rPr>
                <w:rFonts w:hint="eastAsia" w:ascii="宋体" w:hAnsi="宋体" w:eastAsia="宋体" w:cs="宋体"/>
                <w:b/>
                <w:sz w:val="24"/>
              </w:rPr>
              <w:t>承担单位</w:t>
            </w:r>
          </w:p>
        </w:tc>
        <w:tc>
          <w:tcPr>
            <w:tcW w:w="5280" w:type="dxa"/>
            <w:shd w:val="clear" w:color="auto" w:fill="auto"/>
            <w:vAlign w:val="center"/>
          </w:tcPr>
          <w:p>
            <w:pPr>
              <w:spacing w:line="320" w:lineRule="exact"/>
              <w:jc w:val="center"/>
              <w:rPr>
                <w:rFonts w:ascii="宋体" w:hAnsi="宋体" w:eastAsia="宋体" w:cs="宋体"/>
                <w:b/>
                <w:sz w:val="24"/>
              </w:rPr>
            </w:pPr>
            <w:r>
              <w:rPr>
                <w:rFonts w:hint="eastAsia" w:ascii="宋体" w:hAnsi="宋体" w:eastAsia="宋体" w:cs="宋体"/>
                <w:b/>
                <w:sz w:val="24"/>
              </w:rPr>
              <w:t>项目名称</w:t>
            </w:r>
          </w:p>
        </w:tc>
        <w:tc>
          <w:tcPr>
            <w:tcW w:w="1539" w:type="dxa"/>
            <w:shd w:val="clear" w:color="auto" w:fill="auto"/>
            <w:vAlign w:val="center"/>
          </w:tcPr>
          <w:p>
            <w:pPr>
              <w:spacing w:line="320" w:lineRule="exact"/>
              <w:jc w:val="center"/>
              <w:rPr>
                <w:rFonts w:ascii="宋体" w:hAnsi="宋体" w:eastAsia="宋体" w:cs="宋体"/>
                <w:b/>
                <w:sz w:val="24"/>
              </w:rPr>
            </w:pPr>
            <w:r>
              <w:rPr>
                <w:rFonts w:hint="eastAsia" w:ascii="宋体" w:hAnsi="宋体" w:eastAsia="宋体" w:cs="宋体"/>
                <w:b/>
                <w:sz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widowControl/>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抗骨质疏松药物筛选体系的建立和应用</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color w:val="000000"/>
                <w:kern w:val="0"/>
                <w:sz w:val="21"/>
                <w:szCs w:val="21"/>
                <w:lang w:bidi="ar"/>
              </w:rPr>
              <w:t>重点临床医学研究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miR-758-3p靶向AEG-1基因抑制非小细胞肺癌细胞转移及增殖的分子机制研究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α7 nAChR-Wnt信号轴对人牙周膜干细胞在尼古丁影响下形态、增殖及骨向分化潜力的调控机制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原发性慢性闭角型青光眼房水中IL-4、IL-12表达水平及其与视网膜神经纤维层厚度、视野缺损相关性的研究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SIRT1/NF-kB信号通路在脓毒性急性肾损伤中调控肾小管细胞凋亡的研究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认知-平衡双重任务训练对改善脑卒中患者平衡功能的研究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乳腺癌患者NTN4不同剪接体表达的临床意义研究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止血祛瘀方案治疗原发免疫性血小板减少症的临床研究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shd w:val="clear" w:color="auto" w:fill="auto"/>
            <w:vAlign w:val="center"/>
          </w:tcPr>
          <w:p>
            <w:pPr>
              <w:pStyle w:val="12"/>
              <w:numPr>
                <w:ilvl w:val="0"/>
                <w:numId w:val="1"/>
              </w:numPr>
              <w:ind w:firstLineChars="0"/>
              <w:jc w:val="center"/>
              <w:rPr>
                <w:rFonts w:ascii="宋体" w:hAnsi="宋体" w:eastAsia="宋体" w:cs="宋体"/>
                <w:sz w:val="21"/>
                <w:szCs w:val="21"/>
              </w:rPr>
            </w:pPr>
          </w:p>
        </w:tc>
        <w:tc>
          <w:tcPr>
            <w:tcW w:w="2104" w:type="dxa"/>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shd w:val="clear" w:color="auto" w:fill="auto"/>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血液HER2基因的无创检测及其在乳腺癌诊治中的应用价值研究</w:t>
            </w:r>
          </w:p>
        </w:tc>
        <w:tc>
          <w:tcPr>
            <w:tcW w:w="1539" w:type="dxa"/>
            <w:shd w:val="clear" w:color="auto" w:fill="auto"/>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超声联合甲状腺细针穿刺及多分子检测在甲状腺癌诊断与预后中的意义</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TGF-β1缓释支架构建及修复肌腱损伤的实验研究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人工智能技术对冠状动脉CTA成像诊断冠心病的应用价值</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小豆蔻明抑制Wnt/β-catanin信号通路调控骨肉瘤干细胞的作用及机制研究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基于CRC肝转移PDX模型对METTL3调控CRC肝转移分子机制的研究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牛磺熊去氧胆酸对糖尿病心肌病的干预作用及其机制研究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ITP患者外周血B1细胞中Blimp-1表达的检测及其临床意义</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阿帕替尼抑制X线照射后鼻咽癌细胞侵袭和迁移能力及机制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细胞自噬通过降解KLF-4调控血管平滑肌细胞表型转化及其机制研究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恶性胶质瘤放疗剂量与磁共振灌注显像和弥散张量显像的相关性研究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血府逐瘀汤通过miR-130a调控自噬改善低氧性肺动脉高压血管重塑及其机制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TNFAIP8对淋巴瘤增殖和凋亡的作用及其机制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Hsa_circ_002179靶向miR-143-3p调控自噬—凋亡平衡在胃癌5-氟尿嘧啶化疗耐药性中作用的研究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利伐沙班预防恶性肿瘤化疗患者输液港导管相关性血栓有效性与安全性</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乳腺癌干细胞靶向性光热/免疫联合治疗纳米探针的构建及疗效研究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循环miR-140-5p动态监测胆道恶性肿瘤术后转移复发的应用研究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肿瘤突变负荷联合免疫浸润对胃癌的预测价值评价</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多模态超声成像技术诊断肝脏恶性肿瘤的应用价值</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SDF-1及其受体CXCR-4在原发免疫性血小板减少症中的临床意义及作用机制研究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非产碳青霉烯酶肺炎克雷伯杆菌耐碳青霉烯类抗生素的流行水平及机制研究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下肢康复机器人训练对倾斜综合征的影响</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MicroRNA-92a-3p通过DAB2IP调节自噬影响肝细胞肝癌发生、发展的机制研究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TXN在胚胎发育中的作用及异常表达与早期复发性流产的关系及分子机制研究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基于互联网平台的护理干预对肥胖儿童非酒精性脂肪肝的应用效果研究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新型保温模型建立在早产儿院内转运中的应用</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基于脐血外泌体miRNA及tsRNA的表达谱分析探讨卵巢过度刺激综合症（OHSS）致子代健康风险的研究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基于ERAS理念护理措施优化在剖宫产应用及卫生经济学评价</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S100A4介导的滋养层细胞凋亡及自噬在早期复发性流产中的作用及分子机制研究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学龄期儿童不同亚型注意缺陷多动障碍的智力特征研究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绍兴市妇幼保健院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STIC-TUI技术结合彩色多普勒成像在孕11～13+6周筛查胎儿严重先天性心脏病的应用研究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糖尿病肾脏病患者ｅGFR水平与尿糖、UACR的关系及杞菊地黄丸的干预研究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应用Piezocision联合微孔技术加速成人下颌磨牙前移过程中牙周组织改建的初步研究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五福健膝方通过抑制软骨细胞NF-kB信号通路治疗骨关节炎的机制研究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绍派伤寒医家治疫经验研究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高分辨率磁共振神经成像技术在臂丛神经损伤中的应用研究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基于CT影像组学预测纯磨玻璃样肺腺癌浸润程度的临床研究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陷胸承气汤对脂多糖诱导急性肺损伤的保护作用及机制研究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顾氏伤科经验方颗粒剂对老年股骨颈骨折髋关节置换术后假体周围骨密度影响的研究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绍兴市中医院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基于磁共振波谱成像（MRS）影像组学的慢性颈脊髓压迫患者重要蛋白表达预测的研究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绍兴市第七人民医院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经颅多普勒超声检测ADHD患者执行持续任务过程中持续注意力的研究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绍兴市第七人民医院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黑蒜提取物辅助治疗早期阿尔茨海默病的对照研究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绍兴市第七人民医院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miRNA-21及miRNA-181b在精神分裂症患者外周血中表达意义的研究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绍兴市口腔医院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基于“互联网+”绍兴市儿童口腔健康管理示范运用及对比研究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绍兴市口腔医院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牙周基础治疗对服用二甲双胍的2型糖尿病伴牙周炎患者的临床随机试验</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绍兴市口腔医院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口腔正畸联合牙周组织再生术治疗中重度牙周病伴错牙合畸形临床效果的研究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绍兴市疾病预防控制中心</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绍兴黄酒对人体肠道菌群调节促进作用研究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绍兴市疾病预防控制中心</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绍兴地区急性呼吸道感染中肠道病毒的流行状况及溯源分析</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绍兴市疾病预防控制中心</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绍兴水环境中邻苯二甲酸酯类环境激素的污染特征研究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绍兴市疾病预防控制中心</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心血管病高危人群“三高共管”模式探索及效果评价研究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绍兴文理学院附属医院</w:t>
            </w:r>
          </w:p>
        </w:tc>
        <w:tc>
          <w:tcPr>
            <w:tcW w:w="5280" w:type="dxa"/>
            <w:vAlign w:val="center"/>
          </w:tcPr>
          <w:p>
            <w:pPr>
              <w:widowControl/>
              <w:jc w:val="left"/>
              <w:textAlignment w:val="center"/>
              <w:rPr>
                <w:rFonts w:ascii="宋体" w:hAnsi="宋体" w:eastAsia="宋体" w:cs="宋体"/>
                <w:sz w:val="21"/>
                <w:szCs w:val="21"/>
              </w:rPr>
            </w:pPr>
            <w:r>
              <w:rPr>
                <w:rFonts w:hint="eastAsia" w:ascii="宋体" w:hAnsi="宋体" w:eastAsia="宋体" w:cs="宋体"/>
                <w:kern w:val="0"/>
                <w:sz w:val="21"/>
                <w:szCs w:val="21"/>
                <w:lang w:bidi="ar"/>
              </w:rPr>
              <w:t>三维CT支气管血管重建联合3D打印在精准肺段切除术中的应用研究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绍兴文理学院附属医院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基于上转换复合纳米探针的循环外泌体PD-L1精准检测新技术研究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绍兴文理学院附属医院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miR-338-3p靶向SIRT6调节肝癌细胞凋亡逃逸机制研究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绍兴文理学院附属医院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基于BMP9+Wnt3a联合构建对交叉韧带重建后腱骨成骨效能以及腱骨愈合的应用研究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绍兴文理学院医学院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FFAR2对ATGL的负性调控在心肌肥大中的作用及机制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绍兴文理学院医学院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酶转化RGD环肽通过avb3抑制破骨细胞骨吸收影响骨质疏松症发生作用及机制研究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绍兴文理学院医学院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ErbB4通过促进肺泡巨噬细胞M2型活化加重特发性肺纤维化的机制研究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绍兴市越</w:t>
            </w:r>
            <w:bookmarkStart w:id="0" w:name="_GoBack"/>
            <w:bookmarkEnd w:id="0"/>
            <w:r>
              <w:rPr>
                <w:rFonts w:hint="eastAsia" w:ascii="宋体" w:hAnsi="宋体" w:eastAsia="宋体" w:cs="宋体"/>
                <w:color w:val="000000"/>
                <w:sz w:val="21"/>
                <w:szCs w:val="21"/>
              </w:rPr>
              <w:t>城区人民医院</w:t>
            </w:r>
          </w:p>
        </w:tc>
        <w:tc>
          <w:tcPr>
            <w:tcW w:w="5280" w:type="dxa"/>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sz w:val="21"/>
                <w:szCs w:val="21"/>
              </w:rPr>
              <w:t>纳吸棉加普米克令舒液在慢性鼻鼻窦炎术后的应用</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pStyle w:val="18"/>
              <w:jc w:val="center"/>
              <w:rPr>
                <w:rFonts w:ascii="宋体" w:hAnsi="宋体" w:eastAsia="宋体"/>
                <w:sz w:val="21"/>
                <w:szCs w:val="21"/>
              </w:rPr>
            </w:pPr>
            <w:r>
              <w:rPr>
                <w:rFonts w:hint="eastAsia" w:ascii="宋体" w:hAnsi="宋体" w:eastAsia="宋体"/>
                <w:sz w:val="21"/>
                <w:szCs w:val="21"/>
              </w:rPr>
              <w:t>绍兴第二医院</w:t>
            </w:r>
          </w:p>
        </w:tc>
        <w:tc>
          <w:tcPr>
            <w:tcW w:w="5280" w:type="dxa"/>
            <w:vAlign w:val="center"/>
          </w:tcPr>
          <w:p>
            <w:pPr>
              <w:rPr>
                <w:rFonts w:ascii="宋体" w:hAnsi="宋体" w:eastAsia="宋体"/>
                <w:sz w:val="21"/>
                <w:szCs w:val="21"/>
              </w:rPr>
            </w:pPr>
            <w:r>
              <w:rPr>
                <w:rFonts w:hint="eastAsia" w:ascii="宋体" w:hAnsi="宋体" w:eastAsia="宋体"/>
                <w:sz w:val="21"/>
                <w:szCs w:val="21"/>
              </w:rPr>
              <w:t>高强度聚焦超声治疗子宫粘膜下肌瘤的临床研究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jc w:val="center"/>
              <w:rPr>
                <w:rFonts w:ascii="宋体" w:hAnsi="宋体" w:eastAsia="宋体"/>
                <w:sz w:val="21"/>
                <w:szCs w:val="21"/>
              </w:rPr>
            </w:pPr>
            <w:r>
              <w:rPr>
                <w:rFonts w:hint="eastAsia" w:ascii="宋体" w:hAnsi="宋体" w:eastAsia="宋体"/>
                <w:sz w:val="21"/>
                <w:szCs w:val="21"/>
              </w:rPr>
              <w:t>绍兴第二医院</w:t>
            </w:r>
          </w:p>
        </w:tc>
        <w:tc>
          <w:tcPr>
            <w:tcW w:w="5280" w:type="dxa"/>
            <w:vAlign w:val="center"/>
          </w:tcPr>
          <w:p>
            <w:pPr>
              <w:rPr>
                <w:rFonts w:ascii="宋体" w:hAnsi="宋体" w:eastAsia="宋体"/>
                <w:sz w:val="21"/>
                <w:szCs w:val="21"/>
              </w:rPr>
            </w:pPr>
            <w:r>
              <w:rPr>
                <w:rFonts w:ascii="宋体" w:hAnsi="宋体" w:eastAsia="宋体"/>
                <w:sz w:val="21"/>
                <w:szCs w:val="21"/>
              </w:rPr>
              <w:t>IL-13</w:t>
            </w:r>
            <w:r>
              <w:rPr>
                <w:rFonts w:hint="eastAsia" w:ascii="宋体" w:hAnsi="宋体" w:eastAsia="宋体"/>
                <w:sz w:val="21"/>
                <w:szCs w:val="21"/>
              </w:rPr>
              <w:t>、</w:t>
            </w:r>
            <w:r>
              <w:rPr>
                <w:rFonts w:ascii="宋体" w:hAnsi="宋体" w:eastAsia="宋体"/>
                <w:sz w:val="21"/>
                <w:szCs w:val="21"/>
              </w:rPr>
              <w:t>IL-4</w:t>
            </w:r>
            <w:r>
              <w:rPr>
                <w:rFonts w:hint="eastAsia" w:ascii="宋体" w:hAnsi="宋体" w:eastAsia="宋体"/>
                <w:sz w:val="21"/>
                <w:szCs w:val="21"/>
              </w:rPr>
              <w:t>及</w:t>
            </w:r>
            <w:r>
              <w:rPr>
                <w:rFonts w:ascii="宋体" w:hAnsi="宋体" w:eastAsia="宋体"/>
                <w:sz w:val="21"/>
                <w:szCs w:val="21"/>
              </w:rPr>
              <w:t>FCER1B</w:t>
            </w:r>
            <w:r>
              <w:rPr>
                <w:rFonts w:hint="eastAsia" w:ascii="宋体" w:hAnsi="宋体" w:eastAsia="宋体"/>
                <w:sz w:val="21"/>
                <w:szCs w:val="21"/>
              </w:rPr>
              <w:t>基因多态性对吸入式糖皮质激素治疗儿童哮喘疗效的影响研究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sz w:val="21"/>
                <w:szCs w:val="21"/>
              </w:rPr>
              <w:t>绍兴第二医院</w:t>
            </w:r>
          </w:p>
        </w:tc>
        <w:tc>
          <w:tcPr>
            <w:tcW w:w="5280" w:type="dxa"/>
            <w:vAlign w:val="center"/>
          </w:tcPr>
          <w:p>
            <w:pPr>
              <w:rPr>
                <w:rFonts w:ascii="宋体" w:hAnsi="宋体" w:eastAsia="宋体"/>
                <w:sz w:val="21"/>
                <w:szCs w:val="21"/>
              </w:rPr>
            </w:pPr>
            <w:r>
              <w:rPr>
                <w:rFonts w:hint="eastAsia" w:ascii="宋体" w:hAnsi="宋体" w:eastAsia="宋体"/>
                <w:sz w:val="21"/>
                <w:szCs w:val="21"/>
              </w:rPr>
              <w:t>基于大数据分析探索乳腺癌</w:t>
            </w:r>
            <w:r>
              <w:rPr>
                <w:rFonts w:ascii="宋体" w:hAnsi="宋体" w:eastAsia="宋体"/>
                <w:sz w:val="21"/>
                <w:szCs w:val="21"/>
              </w:rPr>
              <w:t>21</w:t>
            </w:r>
            <w:r>
              <w:rPr>
                <w:rFonts w:hint="eastAsia" w:ascii="宋体" w:hAnsi="宋体" w:eastAsia="宋体"/>
                <w:sz w:val="21"/>
                <w:szCs w:val="21"/>
              </w:rPr>
              <w:t>基因复发评分在临床高危乳腺癌患者中的应用</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绍兴市中心医院</w:t>
            </w:r>
          </w:p>
        </w:tc>
        <w:tc>
          <w:tcPr>
            <w:tcW w:w="5280" w:type="dxa"/>
            <w:vAlign w:val="center"/>
          </w:tcPr>
          <w:p>
            <w:pPr>
              <w:rPr>
                <w:rFonts w:ascii="宋体" w:hAnsi="宋体" w:eastAsia="宋体"/>
                <w:sz w:val="21"/>
                <w:szCs w:val="21"/>
              </w:rPr>
            </w:pPr>
            <w:r>
              <w:rPr>
                <w:rFonts w:ascii="宋体" w:hAnsi="宋体" w:eastAsia="宋体" w:cs="Arial"/>
                <w:color w:val="333333"/>
                <w:sz w:val="21"/>
                <w:szCs w:val="21"/>
                <w:shd w:val="clear" w:color="auto" w:fill="FBFCFD"/>
              </w:rPr>
              <w:t>MicroRNA-335</w:t>
            </w:r>
            <w:r>
              <w:rPr>
                <w:rFonts w:hint="eastAsia" w:ascii="宋体" w:hAnsi="宋体" w:eastAsia="宋体" w:cs="Arial"/>
                <w:color w:val="333333"/>
                <w:sz w:val="21"/>
                <w:szCs w:val="21"/>
                <w:shd w:val="clear" w:color="auto" w:fill="FBFCFD"/>
              </w:rPr>
              <w:t>通过</w:t>
            </w:r>
            <w:r>
              <w:rPr>
                <w:rFonts w:ascii="宋体" w:hAnsi="宋体" w:eastAsia="宋体" w:cs="Arial"/>
                <w:color w:val="333333"/>
                <w:sz w:val="21"/>
                <w:szCs w:val="21"/>
                <w:shd w:val="clear" w:color="auto" w:fill="FBFCFD"/>
              </w:rPr>
              <w:t>PLAUR</w:t>
            </w:r>
            <w:r>
              <w:rPr>
                <w:rFonts w:hint="eastAsia" w:ascii="宋体" w:hAnsi="宋体" w:eastAsia="宋体" w:cs="Arial"/>
                <w:color w:val="333333"/>
                <w:sz w:val="21"/>
                <w:szCs w:val="21"/>
                <w:shd w:val="clear" w:color="auto" w:fill="FBFCFD"/>
              </w:rPr>
              <w:t>调节胰腺癌细胞生长与转移机制的研究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绍兴市中心医院</w:t>
            </w:r>
          </w:p>
        </w:tc>
        <w:tc>
          <w:tcPr>
            <w:tcW w:w="5280" w:type="dxa"/>
            <w:vAlign w:val="center"/>
          </w:tcPr>
          <w:p>
            <w:pPr>
              <w:rPr>
                <w:rFonts w:ascii="宋体" w:hAnsi="宋体" w:eastAsia="宋体"/>
                <w:color w:val="000000"/>
                <w:sz w:val="21"/>
                <w:szCs w:val="21"/>
              </w:rPr>
            </w:pPr>
            <w:r>
              <w:rPr>
                <w:rFonts w:hint="eastAsia" w:ascii="宋体" w:hAnsi="宋体" w:eastAsia="宋体"/>
                <w:color w:val="000000"/>
                <w:sz w:val="21"/>
                <w:szCs w:val="21"/>
              </w:rPr>
              <w:t>颈椎管扩大成形及单侧钉棒固术治疗无骨折脱位颈脊髓损伤研究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绍兴市中心医院</w:t>
            </w:r>
          </w:p>
        </w:tc>
        <w:tc>
          <w:tcPr>
            <w:tcW w:w="5280" w:type="dxa"/>
            <w:vAlign w:val="center"/>
          </w:tcPr>
          <w:p>
            <w:pPr>
              <w:rPr>
                <w:rFonts w:ascii="宋体" w:hAnsi="宋体" w:eastAsia="宋体"/>
                <w:color w:val="000000"/>
                <w:sz w:val="21"/>
                <w:szCs w:val="21"/>
              </w:rPr>
            </w:pPr>
            <w:r>
              <w:rPr>
                <w:rFonts w:hint="eastAsia" w:ascii="宋体" w:hAnsi="宋体" w:eastAsia="宋体" w:cs="Arial"/>
                <w:color w:val="333333"/>
                <w:sz w:val="21"/>
                <w:szCs w:val="21"/>
                <w:shd w:val="clear" w:color="auto" w:fill="FBFCFD"/>
              </w:rPr>
              <w:t>远隔缺血适应治疗在脑小血管病所致非痴呆型血管性认知功能障碍患者中的有效性及安全性研究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绍兴市柯桥区中医医院</w:t>
            </w:r>
          </w:p>
        </w:tc>
        <w:tc>
          <w:tcPr>
            <w:tcW w:w="5280" w:type="dxa"/>
            <w:vAlign w:val="center"/>
          </w:tcPr>
          <w:p>
            <w:pPr>
              <w:rPr>
                <w:rFonts w:ascii="宋体" w:hAnsi="宋体" w:eastAsia="宋体"/>
                <w:color w:val="000000"/>
                <w:sz w:val="21"/>
                <w:szCs w:val="21"/>
              </w:rPr>
            </w:pPr>
            <w:r>
              <w:rPr>
                <w:rFonts w:hint="eastAsia" w:ascii="宋体" w:hAnsi="宋体" w:eastAsia="宋体" w:cs="Arial"/>
                <w:color w:val="333333"/>
                <w:sz w:val="21"/>
                <w:szCs w:val="21"/>
                <w:shd w:val="clear" w:color="auto" w:fill="FBFCFD"/>
              </w:rPr>
              <w:t>不同嗜酸性粒细胞计数水平的稳定期慢性阻塞性肺疾病对吸入皮质激素的疗效研究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绍兴市柯桥区中医医院</w:t>
            </w:r>
          </w:p>
        </w:tc>
        <w:tc>
          <w:tcPr>
            <w:tcW w:w="5280" w:type="dxa"/>
            <w:vAlign w:val="center"/>
          </w:tcPr>
          <w:p>
            <w:pPr>
              <w:rPr>
                <w:rFonts w:ascii="宋体" w:hAnsi="宋体" w:eastAsia="宋体"/>
                <w:color w:val="000000"/>
                <w:sz w:val="21"/>
                <w:szCs w:val="21"/>
              </w:rPr>
            </w:pPr>
            <w:r>
              <w:rPr>
                <w:rFonts w:hint="eastAsia" w:ascii="宋体" w:hAnsi="宋体" w:eastAsia="宋体"/>
                <w:color w:val="000000"/>
                <w:sz w:val="21"/>
                <w:szCs w:val="21"/>
              </w:rPr>
              <w:t>以足背为供区的静脉皮瓣修复手背较大面积皮肤软组织缺损的临床研究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绍兴市柯桥区妇幼保健院</w:t>
            </w:r>
          </w:p>
        </w:tc>
        <w:tc>
          <w:tcPr>
            <w:tcW w:w="5280" w:type="dxa"/>
            <w:vAlign w:val="center"/>
          </w:tcPr>
          <w:p>
            <w:pPr>
              <w:rPr>
                <w:rFonts w:ascii="宋体" w:hAnsi="宋体" w:eastAsia="宋体"/>
                <w:color w:val="000000"/>
                <w:sz w:val="21"/>
                <w:szCs w:val="21"/>
              </w:rPr>
            </w:pPr>
            <w:r>
              <w:rPr>
                <w:rFonts w:ascii="宋体" w:hAnsi="宋体" w:eastAsia="宋体" w:cs="Arial"/>
                <w:color w:val="333333"/>
                <w:sz w:val="21"/>
                <w:szCs w:val="21"/>
                <w:shd w:val="clear" w:color="auto" w:fill="FBFCFD"/>
              </w:rPr>
              <w:t>T</w:t>
            </w:r>
            <w:r>
              <w:rPr>
                <w:rFonts w:hint="eastAsia" w:ascii="宋体" w:hAnsi="宋体" w:eastAsia="宋体" w:cs="Arial"/>
                <w:color w:val="333333"/>
                <w:sz w:val="21"/>
                <w:szCs w:val="21"/>
                <w:shd w:val="clear" w:color="auto" w:fill="FBFCFD"/>
              </w:rPr>
              <w:t>淋巴细胞及其亚群的线粒体损伤检测在新生儿黄疸脑损伤风险评估中的意义</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olor w:val="000000"/>
                <w:sz w:val="21"/>
                <w:szCs w:val="21"/>
              </w:rPr>
            </w:pPr>
            <w:r>
              <w:rPr>
                <w:rFonts w:hint="eastAsia" w:ascii="宋体" w:hAnsi="宋体" w:eastAsia="宋体"/>
                <w:color w:val="000000"/>
                <w:sz w:val="21"/>
                <w:szCs w:val="21"/>
              </w:rPr>
              <w:t>绍兴市柯桥区疾病控制中心</w:t>
            </w:r>
          </w:p>
        </w:tc>
        <w:tc>
          <w:tcPr>
            <w:tcW w:w="5280" w:type="dxa"/>
            <w:vAlign w:val="center"/>
          </w:tcPr>
          <w:p>
            <w:pPr>
              <w:rPr>
                <w:rFonts w:ascii="宋体" w:hAnsi="宋体" w:eastAsia="宋体"/>
                <w:color w:val="000000"/>
                <w:sz w:val="21"/>
                <w:szCs w:val="21"/>
              </w:rPr>
            </w:pPr>
            <w:r>
              <w:rPr>
                <w:rFonts w:hint="eastAsia" w:ascii="宋体" w:hAnsi="宋体" w:eastAsia="宋体" w:cs="Arial"/>
                <w:color w:val="333333"/>
                <w:sz w:val="21"/>
                <w:szCs w:val="21"/>
                <w:shd w:val="clear" w:color="auto" w:fill="FBFCFD"/>
              </w:rPr>
              <w:t>柯桥区冷链食品微生物污染状况调查分析及对策研究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绍兴市上虞人民医院</w:t>
            </w:r>
          </w:p>
        </w:tc>
        <w:tc>
          <w:tcPr>
            <w:tcW w:w="5280" w:type="dxa"/>
            <w:vAlign w:val="center"/>
          </w:tcPr>
          <w:p>
            <w:pPr>
              <w:widowControl/>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丹参酮ⅡA通过RUNX3基因去甲基化作用抑制胃癌细胞侵袭转移机制研究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绍兴市上虞人民医院</w:t>
            </w:r>
          </w:p>
        </w:tc>
        <w:tc>
          <w:tcPr>
            <w:tcW w:w="5280" w:type="dxa"/>
            <w:vAlign w:val="center"/>
          </w:tcPr>
          <w:p>
            <w:pPr>
              <w:widowControl/>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一种新型免疫分子标记物在肝癌早期检测中的临床验证</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绍兴市上虞中医医院</w:t>
            </w:r>
          </w:p>
        </w:tc>
        <w:tc>
          <w:tcPr>
            <w:tcW w:w="5280" w:type="dxa"/>
            <w:vAlign w:val="center"/>
          </w:tcPr>
          <w:p>
            <w:pPr>
              <w:widowControl/>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靶点技术在胸腰性骨质疏松性骨折经皮椎体成形术的应用研究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spacing w:line="24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绍兴市上虞妇幼保健院</w:t>
            </w:r>
          </w:p>
        </w:tc>
        <w:tc>
          <w:tcPr>
            <w:tcW w:w="5280" w:type="dxa"/>
            <w:vAlign w:val="center"/>
          </w:tcPr>
          <w:p>
            <w:pPr>
              <w:rPr>
                <w:rFonts w:ascii="宋体" w:hAnsi="宋体" w:eastAsia="宋体" w:cs="宋体"/>
                <w:color w:val="000000"/>
                <w:sz w:val="21"/>
                <w:szCs w:val="21"/>
              </w:rPr>
            </w:pPr>
            <w:r>
              <w:rPr>
                <w:rFonts w:hint="eastAsia" w:ascii="宋体" w:hAnsi="宋体" w:eastAsia="宋体" w:cs="宋体"/>
                <w:color w:val="000000"/>
                <w:sz w:val="21"/>
                <w:szCs w:val="21"/>
              </w:rPr>
              <w:t>预防性应用苯肾上腺素对脊麻下择期剖宫产术后新生儿暂时性呼吸困难的影响</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FTO通过调控巨噬细胞极化影响甲状腺癌细胞增殖和侵袭的机制研究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基于桑葚花青素类成分抗肿瘤先导药物及药效评价研究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TMOD3基因对乳腺癌进展的影响及其与临床预后的相关性研究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消退素D2对病毒性心肌炎小鼠心肌细胞凋亡的保护作用及其调控机制研究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利用多参数MRI构筑立体定位模型在前列腺靶向穿刺中的应用价值分析</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类风湿关节炎患者血清中IL-6、VEGF和TLR7表达水平及其临床意义研究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诸暨市中医医院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性早熟女童及其肠道菌群代谢谱检测和判别模型构建</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诸暨市中医医院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穴位按摩联合贴敷治疗脾气不足型生长迟缓儿童技术研究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诸暨市妇幼保健院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自拟五子泄浊汤联合针刺治疗肥胖型多囊卵巢综合征糖脂代谢及排卵率的影响研究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诸暨市第二人民医院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针刀治疗神经根型颈椎病在表面肌电上的疗效评价</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诸暨市第六人民医院</w:t>
            </w:r>
          </w:p>
        </w:tc>
        <w:tc>
          <w:tcPr>
            <w:tcW w:w="5280" w:type="dxa"/>
            <w:vAlign w:val="center"/>
          </w:tcPr>
          <w:p>
            <w:pPr>
              <w:widowControl/>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头皮针导管在前庭大腺囊（脓）肿造口术中的新应用</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Arial" w:hAnsi="Arial" w:cs="Arial"/>
                <w:color w:val="000000"/>
                <w:sz w:val="22"/>
                <w:szCs w:val="22"/>
              </w:rPr>
            </w:pPr>
            <w:r>
              <w:rPr>
                <w:rFonts w:ascii="Arial" w:hAnsi="Arial" w:eastAsia="宋体" w:cs="Arial"/>
                <w:color w:val="000000"/>
                <w:kern w:val="0"/>
                <w:sz w:val="22"/>
                <w:szCs w:val="22"/>
                <w:lang w:bidi="ar"/>
              </w:rPr>
              <w:t>嵊州市人民医院</w:t>
            </w:r>
          </w:p>
        </w:tc>
        <w:tc>
          <w:tcPr>
            <w:tcW w:w="5280" w:type="dxa"/>
            <w:vAlign w:val="center"/>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脑白质疏松患者抑郁障碍与甲状腺激素水平的相关性研究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Arial" w:hAnsi="Arial" w:cs="Arial"/>
                <w:color w:val="000000"/>
                <w:sz w:val="22"/>
                <w:szCs w:val="22"/>
              </w:rPr>
            </w:pPr>
            <w:r>
              <w:rPr>
                <w:rFonts w:ascii="Arial" w:hAnsi="Arial" w:eastAsia="宋体" w:cs="Arial"/>
                <w:color w:val="000000"/>
                <w:kern w:val="0"/>
                <w:sz w:val="22"/>
                <w:szCs w:val="22"/>
                <w:lang w:bidi="ar"/>
              </w:rPr>
              <w:t>嵊州市人民医院</w:t>
            </w:r>
          </w:p>
        </w:tc>
        <w:tc>
          <w:tcPr>
            <w:tcW w:w="5280" w:type="dxa"/>
            <w:vAlign w:val="center"/>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非小细胞肺癌TTF-1、CK7、NapsinA表达与EGFR基因突变的相关性研究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Arial" w:hAnsi="Arial" w:cs="Arial"/>
                <w:color w:val="000000"/>
                <w:sz w:val="22"/>
                <w:szCs w:val="22"/>
              </w:rPr>
            </w:pPr>
            <w:r>
              <w:rPr>
                <w:rFonts w:ascii="Arial" w:hAnsi="Arial" w:eastAsia="宋体" w:cs="Arial"/>
                <w:color w:val="000000"/>
                <w:kern w:val="0"/>
                <w:sz w:val="22"/>
                <w:szCs w:val="22"/>
                <w:lang w:bidi="ar"/>
              </w:rPr>
              <w:t>嵊州市人民医院</w:t>
            </w:r>
          </w:p>
        </w:tc>
        <w:tc>
          <w:tcPr>
            <w:tcW w:w="5280" w:type="dxa"/>
            <w:vAlign w:val="center"/>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利拉鲁肽对2型糖尿病患者骨代谢及骨密度的影响研究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Arial" w:hAnsi="Arial" w:cs="Arial"/>
                <w:color w:val="000000"/>
                <w:sz w:val="22"/>
                <w:szCs w:val="22"/>
              </w:rPr>
            </w:pPr>
            <w:r>
              <w:rPr>
                <w:rFonts w:ascii="Arial" w:hAnsi="Arial" w:eastAsia="宋体" w:cs="Arial"/>
                <w:color w:val="000000"/>
                <w:kern w:val="0"/>
                <w:sz w:val="22"/>
                <w:szCs w:val="22"/>
                <w:lang w:bidi="ar"/>
              </w:rPr>
              <w:t>嵊州市人民医院</w:t>
            </w:r>
          </w:p>
        </w:tc>
        <w:tc>
          <w:tcPr>
            <w:tcW w:w="5280" w:type="dxa"/>
            <w:vAlign w:val="center"/>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早产儿出生后1小时内床旁肺部超声检查对预测新生儿肺透明膜病的价值研究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widowControl/>
              <w:jc w:val="center"/>
              <w:textAlignment w:val="bottom"/>
              <w:rPr>
                <w:rFonts w:ascii="Arial" w:hAnsi="Arial" w:cs="Arial"/>
                <w:color w:val="000000"/>
                <w:sz w:val="22"/>
                <w:szCs w:val="22"/>
              </w:rPr>
            </w:pPr>
            <w:r>
              <w:rPr>
                <w:rFonts w:ascii="Arial" w:hAnsi="Arial" w:eastAsia="宋体" w:cs="Arial"/>
                <w:color w:val="000000"/>
                <w:kern w:val="0"/>
                <w:sz w:val="22"/>
                <w:szCs w:val="22"/>
                <w:lang w:bidi="ar"/>
              </w:rPr>
              <w:t>嵊州市中医院</w:t>
            </w:r>
          </w:p>
        </w:tc>
        <w:tc>
          <w:tcPr>
            <w:tcW w:w="5280" w:type="dxa"/>
            <w:vAlign w:val="center"/>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基于数据挖掘我国南北方中医治疗阳痿用药差异研究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新昌县人民医院</w:t>
            </w:r>
          </w:p>
        </w:tc>
        <w:tc>
          <w:tcPr>
            <w:tcW w:w="5280" w:type="dxa"/>
            <w:vAlign w:val="center"/>
          </w:tcPr>
          <w:p>
            <w:pPr>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膀胱癌组织中Malat-1的表达与膀胱癌转移、分期及预后的关系</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新昌县人民医院</w:t>
            </w:r>
          </w:p>
        </w:tc>
        <w:tc>
          <w:tcPr>
            <w:tcW w:w="5280" w:type="dxa"/>
            <w:vAlign w:val="center"/>
          </w:tcPr>
          <w:p>
            <w:pPr>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围术期应用新活素对急诊PCI患者的胆碱酯酶和近期预后的影响研究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新昌县中医院</w:t>
            </w:r>
          </w:p>
        </w:tc>
        <w:tc>
          <w:tcPr>
            <w:tcW w:w="5280" w:type="dxa"/>
            <w:vAlign w:val="center"/>
          </w:tcPr>
          <w:p>
            <w:pPr>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艾灸关元穴结合间歇导尿术治疗脊髓损伤后早期神经源性膀胱的临床研究</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pStyle w:val="12"/>
              <w:numPr>
                <w:ilvl w:val="0"/>
                <w:numId w:val="1"/>
              </w:numPr>
              <w:ind w:firstLineChars="0"/>
              <w:jc w:val="center"/>
              <w:rPr>
                <w:rFonts w:ascii="宋体" w:hAnsi="宋体" w:eastAsia="宋体" w:cs="宋体"/>
                <w:sz w:val="21"/>
                <w:szCs w:val="21"/>
              </w:rPr>
            </w:pPr>
          </w:p>
        </w:tc>
        <w:tc>
          <w:tcPr>
            <w:tcW w:w="2104" w:type="dxa"/>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新昌县中医院</w:t>
            </w:r>
          </w:p>
        </w:tc>
        <w:tc>
          <w:tcPr>
            <w:tcW w:w="5280" w:type="dxa"/>
            <w:vAlign w:val="center"/>
          </w:tcPr>
          <w:p>
            <w:pPr>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以针刺治疗联合右美托咪定实施浅镇静在icu机械通气患者中的应用</w:t>
            </w:r>
          </w:p>
        </w:tc>
        <w:tc>
          <w:tcPr>
            <w:tcW w:w="1539"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公益性技术应用研究</w:t>
            </w:r>
          </w:p>
        </w:tc>
      </w:tr>
    </w:tbl>
    <w:p>
      <w:pPr>
        <w:widowControl/>
        <w:spacing w:line="540" w:lineRule="exact"/>
        <w:ind w:firstLine="5600" w:firstLineChars="1750"/>
        <w:jc w:val="left"/>
        <w:rPr>
          <w:rFonts w:ascii="仿宋_GB2312" w:hAnsi="宋体" w:cs="宋体"/>
          <w:kern w:val="0"/>
          <w:szCs w:val="32"/>
        </w:rPr>
      </w:pPr>
    </w:p>
    <w:p>
      <w:pPr>
        <w:widowControl/>
        <w:spacing w:line="540" w:lineRule="exact"/>
        <w:ind w:firstLine="5600" w:firstLineChars="1750"/>
        <w:jc w:val="left"/>
        <w:rPr>
          <w:rFonts w:ascii="仿宋_GB2312" w:hAnsi="宋体" w:cs="宋体"/>
          <w:kern w:val="0"/>
          <w:szCs w:val="32"/>
        </w:rPr>
      </w:pPr>
    </w:p>
    <w:p>
      <w:pPr>
        <w:widowControl/>
        <w:spacing w:line="540" w:lineRule="exact"/>
        <w:ind w:firstLine="5600" w:firstLineChars="1750"/>
        <w:jc w:val="left"/>
        <w:rPr>
          <w:rFonts w:ascii="仿宋_GB2312" w:hAnsi="宋体" w:cs="宋体"/>
          <w:kern w:val="0"/>
          <w:szCs w:val="32"/>
        </w:rPr>
      </w:pPr>
    </w:p>
    <w:p>
      <w:pPr>
        <w:widowControl/>
        <w:spacing w:line="540" w:lineRule="exact"/>
        <w:ind w:firstLine="5600" w:firstLineChars="1750"/>
        <w:jc w:val="left"/>
        <w:rPr>
          <w:rFonts w:ascii="仿宋_GB2312" w:hAnsi="宋体" w:cs="宋体"/>
          <w:kern w:val="0"/>
          <w:szCs w:val="32"/>
        </w:rPr>
      </w:pPr>
    </w:p>
    <w:p>
      <w:pPr>
        <w:widowControl/>
        <w:spacing w:line="540" w:lineRule="exact"/>
        <w:ind w:firstLine="5600" w:firstLineChars="1750"/>
        <w:jc w:val="left"/>
        <w:rPr>
          <w:rFonts w:ascii="仿宋_GB2312" w:hAnsi="宋体" w:cs="宋体"/>
          <w:kern w:val="0"/>
          <w:szCs w:val="32"/>
        </w:rPr>
      </w:pPr>
    </w:p>
    <w:sectPr>
      <w:footerReference r:id="rId3" w:type="default"/>
      <w:pgSz w:w="11906" w:h="16838"/>
      <w:pgMar w:top="1383" w:right="1570" w:bottom="1383" w:left="157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298330"/>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1222"/>
    <w:multiLevelType w:val="singleLevel"/>
    <w:tmpl w:val="6C8112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F8"/>
    <w:rsid w:val="00050613"/>
    <w:rsid w:val="00083E56"/>
    <w:rsid w:val="000B0C25"/>
    <w:rsid w:val="001022E1"/>
    <w:rsid w:val="00107C08"/>
    <w:rsid w:val="00114B66"/>
    <w:rsid w:val="00116062"/>
    <w:rsid w:val="00124B35"/>
    <w:rsid w:val="0017698A"/>
    <w:rsid w:val="00184780"/>
    <w:rsid w:val="001B6648"/>
    <w:rsid w:val="001F1D46"/>
    <w:rsid w:val="0023423F"/>
    <w:rsid w:val="00235D51"/>
    <w:rsid w:val="00254D3D"/>
    <w:rsid w:val="00256E92"/>
    <w:rsid w:val="002806ED"/>
    <w:rsid w:val="0028390A"/>
    <w:rsid w:val="002D7617"/>
    <w:rsid w:val="002E0864"/>
    <w:rsid w:val="002E14F8"/>
    <w:rsid w:val="00321C17"/>
    <w:rsid w:val="003464E6"/>
    <w:rsid w:val="00353671"/>
    <w:rsid w:val="00391598"/>
    <w:rsid w:val="0040254C"/>
    <w:rsid w:val="00404106"/>
    <w:rsid w:val="00423A31"/>
    <w:rsid w:val="00425FC1"/>
    <w:rsid w:val="00443757"/>
    <w:rsid w:val="00494A05"/>
    <w:rsid w:val="004A7708"/>
    <w:rsid w:val="004E7B2E"/>
    <w:rsid w:val="004F1A93"/>
    <w:rsid w:val="004F51F0"/>
    <w:rsid w:val="005054D2"/>
    <w:rsid w:val="005107B7"/>
    <w:rsid w:val="00530B68"/>
    <w:rsid w:val="00553F0F"/>
    <w:rsid w:val="0057265A"/>
    <w:rsid w:val="005B7F5A"/>
    <w:rsid w:val="005C5F32"/>
    <w:rsid w:val="005D16C3"/>
    <w:rsid w:val="00604A4A"/>
    <w:rsid w:val="0061019B"/>
    <w:rsid w:val="00614202"/>
    <w:rsid w:val="00622A8C"/>
    <w:rsid w:val="006330DB"/>
    <w:rsid w:val="0064141E"/>
    <w:rsid w:val="00647DF6"/>
    <w:rsid w:val="00674F7E"/>
    <w:rsid w:val="006A74EF"/>
    <w:rsid w:val="006C07DA"/>
    <w:rsid w:val="006D3D54"/>
    <w:rsid w:val="006E024D"/>
    <w:rsid w:val="006E622D"/>
    <w:rsid w:val="00702777"/>
    <w:rsid w:val="007419DE"/>
    <w:rsid w:val="00744BEB"/>
    <w:rsid w:val="00754000"/>
    <w:rsid w:val="007902DE"/>
    <w:rsid w:val="007C1A34"/>
    <w:rsid w:val="007C7245"/>
    <w:rsid w:val="0081189D"/>
    <w:rsid w:val="0085316E"/>
    <w:rsid w:val="00872334"/>
    <w:rsid w:val="00897FE1"/>
    <w:rsid w:val="008F7955"/>
    <w:rsid w:val="0092119C"/>
    <w:rsid w:val="00936F48"/>
    <w:rsid w:val="00970A63"/>
    <w:rsid w:val="009B0937"/>
    <w:rsid w:val="009C297D"/>
    <w:rsid w:val="009D74E5"/>
    <w:rsid w:val="009E4211"/>
    <w:rsid w:val="00A51DD6"/>
    <w:rsid w:val="00A738C6"/>
    <w:rsid w:val="00B25E27"/>
    <w:rsid w:val="00B54D3A"/>
    <w:rsid w:val="00B8529C"/>
    <w:rsid w:val="00B91EE8"/>
    <w:rsid w:val="00BC4DCB"/>
    <w:rsid w:val="00BF0FD3"/>
    <w:rsid w:val="00C23858"/>
    <w:rsid w:val="00C54A04"/>
    <w:rsid w:val="00C8766C"/>
    <w:rsid w:val="00CA36EB"/>
    <w:rsid w:val="00CE1E96"/>
    <w:rsid w:val="00D02D19"/>
    <w:rsid w:val="00D461D6"/>
    <w:rsid w:val="00D63433"/>
    <w:rsid w:val="00E135DF"/>
    <w:rsid w:val="00E15A40"/>
    <w:rsid w:val="00E22230"/>
    <w:rsid w:val="00E42D75"/>
    <w:rsid w:val="00E76D28"/>
    <w:rsid w:val="00F056C4"/>
    <w:rsid w:val="00F60B19"/>
    <w:rsid w:val="00F665CB"/>
    <w:rsid w:val="00F81C6F"/>
    <w:rsid w:val="00F90B2F"/>
    <w:rsid w:val="00F96EA2"/>
    <w:rsid w:val="00FE363E"/>
    <w:rsid w:val="09FB5109"/>
    <w:rsid w:val="0C4A747F"/>
    <w:rsid w:val="115B3B7C"/>
    <w:rsid w:val="13316FD2"/>
    <w:rsid w:val="1B364AC1"/>
    <w:rsid w:val="22D535A8"/>
    <w:rsid w:val="23E865B2"/>
    <w:rsid w:val="30960B41"/>
    <w:rsid w:val="56E27A09"/>
    <w:rsid w:val="59EB7A36"/>
    <w:rsid w:val="5E3571D6"/>
    <w:rsid w:val="63362F85"/>
    <w:rsid w:val="6A0039FD"/>
    <w:rsid w:val="7BD51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paragraph" w:customStyle="1" w:styleId="11">
    <w:name w:val="默认段落字体 Para Char Char Char Char Char Char Char Char Char1 Char Char Char Char"/>
    <w:basedOn w:val="1"/>
    <w:qFormat/>
    <w:uiPriority w:val="0"/>
    <w:rPr>
      <w:rFonts w:eastAsia="宋体"/>
      <w:sz w:val="21"/>
    </w:rPr>
  </w:style>
  <w:style w:type="paragraph" w:styleId="12">
    <w:name w:val="List Paragraph"/>
    <w:basedOn w:val="1"/>
    <w:qFormat/>
    <w:uiPriority w:val="34"/>
    <w:pPr>
      <w:ind w:firstLine="420" w:firstLineChars="200"/>
    </w:pPr>
  </w:style>
  <w:style w:type="paragraph" w:customStyle="1" w:styleId="13">
    <w:name w:val="Char Char Char2 Char"/>
    <w:basedOn w:val="1"/>
    <w:qFormat/>
    <w:uiPriority w:val="99"/>
    <w:pPr>
      <w:ind w:left="1360" w:hanging="720"/>
    </w:pPr>
    <w:rPr>
      <w:rFonts w:eastAsia="宋体"/>
      <w:sz w:val="21"/>
    </w:rPr>
  </w:style>
  <w:style w:type="character" w:customStyle="1" w:styleId="14">
    <w:name w:val="页眉 Char"/>
    <w:basedOn w:val="7"/>
    <w:link w:val="4"/>
    <w:qFormat/>
    <w:uiPriority w:val="99"/>
    <w:rPr>
      <w:rFonts w:ascii="Times New Roman" w:hAnsi="Times New Roman" w:eastAsia="仿宋_GB2312" w:cs="Times New Roman"/>
      <w:sz w:val="18"/>
      <w:szCs w:val="18"/>
    </w:rPr>
  </w:style>
  <w:style w:type="character" w:customStyle="1" w:styleId="15">
    <w:name w:val="页脚 Char"/>
    <w:basedOn w:val="7"/>
    <w:link w:val="3"/>
    <w:qFormat/>
    <w:uiPriority w:val="99"/>
    <w:rPr>
      <w:rFonts w:ascii="Times New Roman" w:hAnsi="Times New Roman" w:eastAsia="仿宋_GB2312" w:cs="Times New Roman"/>
      <w:sz w:val="18"/>
      <w:szCs w:val="18"/>
    </w:rPr>
  </w:style>
  <w:style w:type="paragraph" w:customStyle="1" w:styleId="16">
    <w:name w:val="正文 New"/>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7">
    <w:name w:val="批注框文本 Char"/>
    <w:basedOn w:val="7"/>
    <w:link w:val="2"/>
    <w:semiHidden/>
    <w:qFormat/>
    <w:uiPriority w:val="99"/>
    <w:rPr>
      <w:rFonts w:ascii="Times New Roman" w:hAnsi="Times New Roman" w:eastAsia="仿宋_GB2312" w:cs="Times New Roman"/>
      <w:sz w:val="18"/>
      <w:szCs w:val="18"/>
    </w:rPr>
  </w:style>
  <w:style w:type="paragraph" w:styleId="18">
    <w:name w:val="No Spacing"/>
    <w:qFormat/>
    <w:uiPriority w:val="99"/>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62743-AC0D-4395-AF17-152B6230A608}">
  <ds:schemaRefs/>
</ds:datastoreItem>
</file>

<file path=docProps/app.xml><?xml version="1.0" encoding="utf-8"?>
<Properties xmlns="http://schemas.openxmlformats.org/officeDocument/2006/extended-properties" xmlns:vt="http://schemas.openxmlformats.org/officeDocument/2006/docPropsVTypes">
  <Template>Normal</Template>
  <Pages>5</Pages>
  <Words>811</Words>
  <Characters>4625</Characters>
  <Lines>38</Lines>
  <Paragraphs>10</Paragraphs>
  <TotalTime>2</TotalTime>
  <ScaleCrop>false</ScaleCrop>
  <LinksUpToDate>false</LinksUpToDate>
  <CharactersWithSpaces>5426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2018-07-25T07:35:00Z</dcterms:created>
  <dc:creator>劳泳梅</dc:creator>
  <cp:lastModifiedBy>印第安斑鸠</cp:lastModifiedBy>
  <cp:lastPrinted>2018-07-24T03:00:00Z</cp:lastPrinted>
  <dcterms:modified xsi:type="dcterms:W3CDTF">2020-11-05T03:52:32Z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